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B3D" w:rsidRPr="009C0C2B" w:rsidRDefault="00A50B3D" w:rsidP="00D12187">
      <w:pPr>
        <w:shd w:val="clear" w:color="auto" w:fill="FFFFFF"/>
        <w:spacing w:before="180" w:after="0" w:line="384" w:lineRule="atLeast"/>
        <w:textAlignment w:val="baseline"/>
        <w:rPr>
          <w:rFonts w:ascii="Microsoft New Tai Lue" w:eastAsia="Times New Roman" w:hAnsi="Microsoft New Tai Lue" w:cs="Microsoft New Tai Lue"/>
          <w:b/>
          <w:bCs/>
          <w:color w:val="2F5496" w:themeColor="accent5" w:themeShade="BF"/>
          <w:sz w:val="24"/>
          <w:szCs w:val="24"/>
        </w:rPr>
      </w:pPr>
      <w:r w:rsidRPr="009C0C2B">
        <w:rPr>
          <w:rFonts w:ascii="Microsoft New Tai Lue" w:eastAsia="Times New Roman" w:hAnsi="Microsoft New Tai Lue" w:cs="Microsoft New Tai Lue"/>
          <w:color w:val="111111"/>
          <w:sz w:val="24"/>
          <w:szCs w:val="24"/>
        </w:rPr>
        <w:t>The two-year Master of Historic Preservation (MHP) program consists of 57 to 60 semester hours of required instruction, including core courses, elective hours, and thesis courses (worth 9 hours of course credit). With some exceptions, each course usually offers three semester hours of credit.  Fifty-seven hours are the minimum necessary for the degree.</w:t>
      </w:r>
    </w:p>
    <w:tbl>
      <w:tblPr>
        <w:tblW w:w="1282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628"/>
        <w:gridCol w:w="10197"/>
      </w:tblGrid>
      <w:tr w:rsidR="00A50B3D" w:rsidRPr="009C0C2B" w:rsidTr="00DB216A">
        <w:tc>
          <w:tcPr>
            <w:tcW w:w="12825" w:type="dxa"/>
            <w:gridSpan w:val="2"/>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A50B3D" w:rsidRPr="009C0C2B" w:rsidRDefault="00A50B3D" w:rsidP="00A50B3D">
            <w:pPr>
              <w:spacing w:after="0" w:line="240" w:lineRule="atLeast"/>
              <w:jc w:val="center"/>
              <w:textAlignment w:val="baseline"/>
              <w:outlineLvl w:val="3"/>
              <w:rPr>
                <w:rFonts w:ascii="Microsoft New Tai Lue" w:eastAsia="Times New Roman" w:hAnsi="Microsoft New Tai Lue" w:cs="Microsoft New Tai Lue"/>
                <w:b/>
                <w:bCs/>
                <w:color w:val="222222"/>
                <w:sz w:val="30"/>
                <w:szCs w:val="30"/>
              </w:rPr>
            </w:pPr>
            <w:r w:rsidRPr="009C0C2B">
              <w:rPr>
                <w:rFonts w:ascii="Microsoft New Tai Lue" w:eastAsia="Times New Roman" w:hAnsi="Microsoft New Tai Lue" w:cs="Microsoft New Tai Lue"/>
                <w:b/>
                <w:bCs/>
                <w:color w:val="222222"/>
                <w:sz w:val="30"/>
                <w:szCs w:val="30"/>
                <w:bdr w:val="none" w:sz="0" w:space="0" w:color="auto" w:frame="1"/>
              </w:rPr>
              <w:t>YEAR 1</w:t>
            </w:r>
          </w:p>
        </w:tc>
      </w:tr>
      <w:tr w:rsidR="00A50B3D" w:rsidRPr="009C0C2B" w:rsidTr="00DB216A">
        <w:tc>
          <w:tcPr>
            <w:tcW w:w="2628"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A50B3D" w:rsidRPr="009C0C2B" w:rsidRDefault="00AF2592" w:rsidP="00A50B3D">
            <w:pPr>
              <w:spacing w:after="0" w:line="384" w:lineRule="atLeast"/>
              <w:rPr>
                <w:rFonts w:ascii="Microsoft New Tai Lue" w:eastAsia="Times New Roman" w:hAnsi="Microsoft New Tai Lue" w:cs="Microsoft New Tai Lue"/>
                <w:color w:val="111111"/>
                <w:sz w:val="24"/>
                <w:szCs w:val="24"/>
              </w:rPr>
            </w:pPr>
            <w:r>
              <w:rPr>
                <w:rFonts w:ascii="Microsoft New Tai Lue" w:eastAsia="Times New Roman" w:hAnsi="Microsoft New Tai Lue" w:cs="Microsoft New Tai Lue"/>
                <w:color w:val="111111"/>
                <w:sz w:val="24"/>
                <w:szCs w:val="24"/>
              </w:rPr>
              <w:t>Fall (15</w:t>
            </w:r>
            <w:bookmarkStart w:id="0" w:name="_GoBack"/>
            <w:bookmarkEnd w:id="0"/>
            <w:r w:rsidR="00A50B3D" w:rsidRPr="009C0C2B">
              <w:rPr>
                <w:rFonts w:ascii="Microsoft New Tai Lue" w:eastAsia="Times New Roman" w:hAnsi="Microsoft New Tai Lue" w:cs="Microsoft New Tai Lue"/>
                <w:color w:val="111111"/>
                <w:sz w:val="24"/>
                <w:szCs w:val="24"/>
              </w:rPr>
              <w:t xml:space="preserve"> hours)</w:t>
            </w:r>
          </w:p>
        </w:tc>
        <w:tc>
          <w:tcPr>
            <w:tcW w:w="0" w:type="auto"/>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A50B3D" w:rsidRPr="009C0C2B" w:rsidRDefault="00AF2592" w:rsidP="003F31A2">
            <w:pPr>
              <w:numPr>
                <w:ilvl w:val="0"/>
                <w:numId w:val="1"/>
              </w:numPr>
              <w:spacing w:after="0" w:line="384" w:lineRule="atLeast"/>
              <w:textAlignment w:val="baseline"/>
              <w:rPr>
                <w:rFonts w:ascii="Microsoft New Tai Lue" w:eastAsia="Times New Roman" w:hAnsi="Microsoft New Tai Lue" w:cs="Microsoft New Tai Lue"/>
                <w:color w:val="111111"/>
                <w:sz w:val="24"/>
                <w:szCs w:val="24"/>
              </w:rPr>
            </w:pPr>
            <w:hyperlink r:id="rId6" w:history="1">
              <w:r w:rsidR="00A50B3D" w:rsidRPr="009C0C2B">
                <w:rPr>
                  <w:rFonts w:ascii="Microsoft New Tai Lue" w:eastAsia="Times New Roman" w:hAnsi="Microsoft New Tai Lue" w:cs="Microsoft New Tai Lue"/>
                  <w:color w:val="CC0000"/>
                  <w:sz w:val="24"/>
                  <w:szCs w:val="24"/>
                  <w:u w:val="single"/>
                  <w:bdr w:val="none" w:sz="0" w:space="0" w:color="auto" w:frame="1"/>
                </w:rPr>
                <w:t>HIPR 6030: Principles and Practice of Preservation</w:t>
              </w:r>
            </w:hyperlink>
            <w:r w:rsidR="00A50B3D" w:rsidRPr="009C0C2B">
              <w:rPr>
                <w:rFonts w:ascii="Microsoft New Tai Lue" w:eastAsia="Times New Roman" w:hAnsi="Microsoft New Tai Lue" w:cs="Microsoft New Tai Lue"/>
                <w:color w:val="111111"/>
                <w:sz w:val="24"/>
                <w:szCs w:val="24"/>
              </w:rPr>
              <w:t> (3)</w:t>
            </w:r>
            <w:r w:rsidR="00A50B3D" w:rsidRPr="009C0C2B">
              <w:rPr>
                <w:rFonts w:ascii="Arial" w:eastAsia="Times New Roman" w:hAnsi="Arial" w:cs="Arial"/>
                <w:color w:val="111111"/>
                <w:sz w:val="24"/>
                <w:szCs w:val="24"/>
              </w:rPr>
              <w:t>∆</w:t>
            </w:r>
          </w:p>
          <w:p w:rsidR="00A50B3D" w:rsidRPr="009C0C2B" w:rsidRDefault="00AF2592" w:rsidP="003F31A2">
            <w:pPr>
              <w:numPr>
                <w:ilvl w:val="0"/>
                <w:numId w:val="1"/>
              </w:numPr>
              <w:spacing w:after="0" w:line="384" w:lineRule="atLeast"/>
              <w:textAlignment w:val="baseline"/>
              <w:rPr>
                <w:rFonts w:ascii="Microsoft New Tai Lue" w:eastAsia="Times New Roman" w:hAnsi="Microsoft New Tai Lue" w:cs="Microsoft New Tai Lue"/>
                <w:color w:val="111111"/>
                <w:sz w:val="24"/>
                <w:szCs w:val="24"/>
              </w:rPr>
            </w:pPr>
            <w:hyperlink r:id="rId7" w:history="1">
              <w:r w:rsidR="00A50B3D" w:rsidRPr="009C0C2B">
                <w:rPr>
                  <w:rFonts w:ascii="Microsoft New Tai Lue" w:eastAsia="Times New Roman" w:hAnsi="Microsoft New Tai Lue" w:cs="Microsoft New Tai Lue"/>
                  <w:color w:val="CC0000"/>
                  <w:sz w:val="24"/>
                  <w:szCs w:val="24"/>
                  <w:u w:val="single"/>
                  <w:bdr w:val="none" w:sz="0" w:space="0" w:color="auto" w:frame="1"/>
                </w:rPr>
                <w:t>HIPR 6060: Basic Preservation Graphics</w:t>
              </w:r>
            </w:hyperlink>
            <w:r w:rsidR="00A50B3D" w:rsidRPr="009C0C2B">
              <w:rPr>
                <w:rFonts w:ascii="Microsoft New Tai Lue" w:eastAsia="Times New Roman" w:hAnsi="Microsoft New Tai Lue" w:cs="Microsoft New Tai Lue"/>
                <w:color w:val="111111"/>
                <w:sz w:val="24"/>
                <w:szCs w:val="24"/>
              </w:rPr>
              <w:t> (3)‡</w:t>
            </w:r>
          </w:p>
          <w:p w:rsidR="00A50B3D" w:rsidRPr="003F31A2" w:rsidRDefault="00A50B3D" w:rsidP="003F31A2">
            <w:pPr>
              <w:numPr>
                <w:ilvl w:val="0"/>
                <w:numId w:val="1"/>
              </w:numPr>
              <w:spacing w:after="0" w:line="384" w:lineRule="atLeast"/>
              <w:textAlignment w:val="baseline"/>
              <w:rPr>
                <w:rFonts w:ascii="Microsoft New Tai Lue" w:eastAsia="Times New Roman" w:hAnsi="Microsoft New Tai Lue" w:cs="Microsoft New Tai Lue"/>
                <w:color w:val="111111"/>
                <w:sz w:val="24"/>
                <w:szCs w:val="24"/>
              </w:rPr>
            </w:pPr>
            <w:r w:rsidRPr="009C0C2B">
              <w:rPr>
                <w:rFonts w:ascii="Microsoft New Tai Lue" w:eastAsia="Times New Roman" w:hAnsi="Microsoft New Tai Lue" w:cs="Microsoft New Tai Lue"/>
                <w:color w:val="111111"/>
                <w:sz w:val="24"/>
                <w:szCs w:val="24"/>
              </w:rPr>
              <w:t>LAND 6620: Evolution of American Architecture (</w:t>
            </w:r>
            <w:r w:rsidR="003F31A2">
              <w:rPr>
                <w:rFonts w:ascii="Microsoft New Tai Lue" w:eastAsia="Times New Roman" w:hAnsi="Microsoft New Tai Lue" w:cs="Microsoft New Tai Lue"/>
                <w:color w:val="111111"/>
                <w:sz w:val="24"/>
                <w:szCs w:val="24"/>
              </w:rPr>
              <w:t>3</w:t>
            </w:r>
            <w:r w:rsidRPr="009C0C2B">
              <w:rPr>
                <w:rFonts w:ascii="Microsoft New Tai Lue" w:eastAsia="Times New Roman" w:hAnsi="Microsoft New Tai Lue" w:cs="Microsoft New Tai Lue"/>
                <w:color w:val="111111"/>
                <w:sz w:val="24"/>
                <w:szCs w:val="24"/>
              </w:rPr>
              <w:t>)</w:t>
            </w:r>
            <w:r w:rsidR="00E31E12" w:rsidRPr="009C0C2B">
              <w:rPr>
                <w:rFonts w:ascii="Arial" w:eastAsia="Times New Roman" w:hAnsi="Arial" w:cs="Arial"/>
                <w:color w:val="111111"/>
                <w:sz w:val="24"/>
                <w:szCs w:val="24"/>
              </w:rPr>
              <w:t>∆</w:t>
            </w:r>
          </w:p>
          <w:p w:rsidR="003F31A2" w:rsidRPr="003F31A2" w:rsidRDefault="00AF2592" w:rsidP="003F31A2">
            <w:pPr>
              <w:numPr>
                <w:ilvl w:val="0"/>
                <w:numId w:val="1"/>
              </w:numPr>
              <w:shd w:val="clear" w:color="auto" w:fill="FFFFFF"/>
              <w:spacing w:before="100" w:beforeAutospacing="1" w:after="100" w:afterAutospacing="1" w:line="240" w:lineRule="auto"/>
              <w:rPr>
                <w:rFonts w:ascii="Verdana" w:hAnsi="Verdana"/>
                <w:color w:val="111111"/>
                <w:sz w:val="23"/>
                <w:szCs w:val="23"/>
              </w:rPr>
            </w:pPr>
            <w:hyperlink r:id="rId8" w:history="1">
              <w:r w:rsidR="003F31A2">
                <w:rPr>
                  <w:rStyle w:val="Hyperlink"/>
                  <w:rFonts w:ascii="Verdana" w:hAnsi="Verdana"/>
                  <w:color w:val="BA1111"/>
                  <w:sz w:val="23"/>
                  <w:szCs w:val="23"/>
                </w:rPr>
                <w:t>HIPR 6200: Preservation Law</w:t>
              </w:r>
            </w:hyperlink>
            <w:r w:rsidR="003F31A2">
              <w:rPr>
                <w:rFonts w:ascii="Verdana" w:hAnsi="Verdana"/>
                <w:color w:val="111111"/>
                <w:sz w:val="23"/>
                <w:szCs w:val="23"/>
              </w:rPr>
              <w:t> (3)∆</w:t>
            </w:r>
          </w:p>
          <w:p w:rsidR="00A50B3D" w:rsidRPr="009C0C2B" w:rsidRDefault="00AF2592" w:rsidP="003F31A2">
            <w:pPr>
              <w:numPr>
                <w:ilvl w:val="0"/>
                <w:numId w:val="1"/>
              </w:numPr>
              <w:spacing w:after="0" w:line="384" w:lineRule="atLeast"/>
              <w:textAlignment w:val="baseline"/>
              <w:rPr>
                <w:rFonts w:ascii="Microsoft New Tai Lue" w:eastAsia="Times New Roman" w:hAnsi="Microsoft New Tai Lue" w:cs="Microsoft New Tai Lue"/>
                <w:color w:val="111111"/>
                <w:sz w:val="24"/>
                <w:szCs w:val="24"/>
              </w:rPr>
            </w:pPr>
            <w:hyperlink r:id="rId9" w:history="1">
              <w:r w:rsidR="00A50B3D" w:rsidRPr="009C0C2B">
                <w:rPr>
                  <w:rFonts w:ascii="Microsoft New Tai Lue" w:eastAsia="Times New Roman" w:hAnsi="Microsoft New Tai Lue" w:cs="Microsoft New Tai Lue"/>
                  <w:color w:val="CC0000"/>
                  <w:sz w:val="24"/>
                  <w:szCs w:val="24"/>
                  <w:u w:val="single"/>
                  <w:bdr w:val="none" w:sz="0" w:space="0" w:color="auto" w:frame="1"/>
                </w:rPr>
                <w:t>Elective</w:t>
              </w:r>
            </w:hyperlink>
            <w:r w:rsidR="00A50B3D" w:rsidRPr="009C0C2B">
              <w:rPr>
                <w:rFonts w:ascii="Microsoft New Tai Lue" w:eastAsia="Times New Roman" w:hAnsi="Microsoft New Tai Lue" w:cs="Microsoft New Tai Lue"/>
                <w:color w:val="111111"/>
                <w:sz w:val="24"/>
                <w:szCs w:val="24"/>
              </w:rPr>
              <w:t> (3)</w:t>
            </w:r>
          </w:p>
        </w:tc>
      </w:tr>
      <w:tr w:rsidR="00A50B3D" w:rsidRPr="009C0C2B" w:rsidTr="00DB216A">
        <w:tc>
          <w:tcPr>
            <w:tcW w:w="2628"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A50B3D" w:rsidRPr="009C0C2B" w:rsidRDefault="00A50B3D" w:rsidP="00A50B3D">
            <w:pPr>
              <w:spacing w:after="0" w:line="384" w:lineRule="atLeast"/>
              <w:rPr>
                <w:rFonts w:ascii="Microsoft New Tai Lue" w:eastAsia="Times New Roman" w:hAnsi="Microsoft New Tai Lue" w:cs="Microsoft New Tai Lue"/>
                <w:color w:val="111111"/>
                <w:sz w:val="24"/>
                <w:szCs w:val="24"/>
              </w:rPr>
            </w:pPr>
            <w:r w:rsidRPr="009C0C2B">
              <w:rPr>
                <w:rFonts w:ascii="Microsoft New Tai Lue" w:eastAsia="Times New Roman" w:hAnsi="Microsoft New Tai Lue" w:cs="Microsoft New Tai Lue"/>
                <w:color w:val="111111"/>
                <w:sz w:val="24"/>
                <w:szCs w:val="24"/>
              </w:rPr>
              <w:t>Spring (15 hours)</w:t>
            </w:r>
          </w:p>
        </w:tc>
        <w:tc>
          <w:tcPr>
            <w:tcW w:w="0" w:type="auto"/>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DB216A" w:rsidRPr="00DB216A" w:rsidRDefault="00DB216A" w:rsidP="00A50B3D">
            <w:pPr>
              <w:numPr>
                <w:ilvl w:val="0"/>
                <w:numId w:val="2"/>
              </w:numPr>
              <w:spacing w:after="0" w:line="384" w:lineRule="atLeast"/>
              <w:ind w:left="480"/>
              <w:textAlignment w:val="baseline"/>
              <w:rPr>
                <w:rFonts w:ascii="Microsoft New Tai Lue" w:eastAsia="Times New Roman" w:hAnsi="Microsoft New Tai Lue" w:cs="Microsoft New Tai Lue"/>
                <w:color w:val="111111"/>
                <w:sz w:val="24"/>
                <w:szCs w:val="24"/>
              </w:rPr>
            </w:pPr>
            <w:r w:rsidRPr="009C0C2B">
              <w:rPr>
                <w:rFonts w:ascii="Microsoft New Tai Lue" w:eastAsia="Times New Roman" w:hAnsi="Microsoft New Tai Lue" w:cs="Microsoft New Tai Lue"/>
                <w:color w:val="111111"/>
                <w:sz w:val="24"/>
                <w:szCs w:val="24"/>
              </w:rPr>
              <w:t>HIPR 6025: Preservation Perspectives Field Study (1)†</w:t>
            </w:r>
          </w:p>
          <w:p w:rsidR="00A50B3D" w:rsidRPr="009C0C2B" w:rsidRDefault="00AF2592" w:rsidP="00A50B3D">
            <w:pPr>
              <w:numPr>
                <w:ilvl w:val="0"/>
                <w:numId w:val="2"/>
              </w:numPr>
              <w:spacing w:after="0" w:line="384" w:lineRule="atLeast"/>
              <w:ind w:left="480"/>
              <w:textAlignment w:val="baseline"/>
              <w:rPr>
                <w:rFonts w:ascii="Microsoft New Tai Lue" w:eastAsia="Times New Roman" w:hAnsi="Microsoft New Tai Lue" w:cs="Microsoft New Tai Lue"/>
                <w:color w:val="111111"/>
                <w:sz w:val="24"/>
                <w:szCs w:val="24"/>
              </w:rPr>
            </w:pPr>
            <w:hyperlink r:id="rId10" w:history="1">
              <w:r w:rsidR="00A50B3D" w:rsidRPr="009C0C2B">
                <w:rPr>
                  <w:rFonts w:ascii="Microsoft New Tai Lue" w:eastAsia="Times New Roman" w:hAnsi="Microsoft New Tai Lue" w:cs="Microsoft New Tai Lue"/>
                  <w:color w:val="CC0000"/>
                  <w:sz w:val="24"/>
                  <w:szCs w:val="24"/>
                  <w:u w:val="single"/>
                  <w:bdr w:val="none" w:sz="0" w:space="0" w:color="auto" w:frame="1"/>
                </w:rPr>
                <w:t>HIPR 6100: Cultural Resource Assessment</w:t>
              </w:r>
              <w:r w:rsidR="00A50B3D" w:rsidRPr="009C0C2B">
                <w:rPr>
                  <w:rFonts w:ascii="Microsoft New Tai Lue" w:eastAsia="Times New Roman" w:hAnsi="Microsoft New Tai Lue" w:cs="Microsoft New Tai Lue"/>
                  <w:color w:val="CC0000"/>
                  <w:sz w:val="24"/>
                  <w:szCs w:val="24"/>
                  <w:bdr w:val="none" w:sz="0" w:space="0" w:color="auto" w:frame="1"/>
                </w:rPr>
                <w:t> </w:t>
              </w:r>
            </w:hyperlink>
            <w:r w:rsidR="00A50B3D" w:rsidRPr="009C0C2B">
              <w:rPr>
                <w:rFonts w:ascii="Microsoft New Tai Lue" w:eastAsia="Times New Roman" w:hAnsi="Microsoft New Tai Lue" w:cs="Microsoft New Tai Lue"/>
                <w:color w:val="111111"/>
                <w:sz w:val="24"/>
                <w:szCs w:val="24"/>
              </w:rPr>
              <w:t>(3)</w:t>
            </w:r>
            <w:r w:rsidR="00A50B3D" w:rsidRPr="009C0C2B">
              <w:rPr>
                <w:rFonts w:ascii="Arial" w:eastAsia="Times New Roman" w:hAnsi="Arial" w:cs="Arial"/>
                <w:color w:val="111111"/>
                <w:sz w:val="24"/>
                <w:szCs w:val="24"/>
              </w:rPr>
              <w:t>∆</w:t>
            </w:r>
          </w:p>
          <w:p w:rsidR="00A50B3D" w:rsidRPr="009C0C2B" w:rsidRDefault="00AF2592" w:rsidP="00A50B3D">
            <w:pPr>
              <w:numPr>
                <w:ilvl w:val="0"/>
                <w:numId w:val="2"/>
              </w:numPr>
              <w:spacing w:after="0" w:line="384" w:lineRule="atLeast"/>
              <w:ind w:left="480"/>
              <w:textAlignment w:val="baseline"/>
              <w:rPr>
                <w:rFonts w:ascii="Microsoft New Tai Lue" w:eastAsia="Times New Roman" w:hAnsi="Microsoft New Tai Lue" w:cs="Microsoft New Tai Lue"/>
                <w:color w:val="111111"/>
                <w:sz w:val="24"/>
                <w:szCs w:val="24"/>
              </w:rPr>
            </w:pPr>
            <w:hyperlink r:id="rId11" w:history="1">
              <w:r w:rsidR="00A50B3D" w:rsidRPr="009C0C2B">
                <w:rPr>
                  <w:rFonts w:ascii="Microsoft New Tai Lue" w:eastAsia="Times New Roman" w:hAnsi="Microsoft New Tai Lue" w:cs="Microsoft New Tai Lue"/>
                  <w:color w:val="CC0000"/>
                  <w:sz w:val="24"/>
                  <w:szCs w:val="24"/>
                  <w:u w:val="single"/>
                  <w:bdr w:val="none" w:sz="0" w:space="0" w:color="auto" w:frame="1"/>
                </w:rPr>
                <w:t>HIPR 6660: Historic Preservation Design Studio</w:t>
              </w:r>
            </w:hyperlink>
            <w:r w:rsidR="00A50B3D" w:rsidRPr="009C0C2B">
              <w:rPr>
                <w:rFonts w:ascii="Microsoft New Tai Lue" w:eastAsia="Times New Roman" w:hAnsi="Microsoft New Tai Lue" w:cs="Microsoft New Tai Lue"/>
                <w:color w:val="111111"/>
                <w:sz w:val="24"/>
                <w:szCs w:val="24"/>
              </w:rPr>
              <w:t> (3)‡</w:t>
            </w:r>
            <w:r w:rsidR="00A50B3D" w:rsidRPr="009C0C2B">
              <w:rPr>
                <w:rFonts w:ascii="Arial" w:eastAsia="Times New Roman" w:hAnsi="Arial" w:cs="Arial"/>
                <w:color w:val="111111"/>
                <w:sz w:val="24"/>
                <w:szCs w:val="24"/>
              </w:rPr>
              <w:t>∆</w:t>
            </w:r>
          </w:p>
          <w:p w:rsidR="00A50B3D" w:rsidRPr="009C0C2B" w:rsidRDefault="00AF2592" w:rsidP="00A50B3D">
            <w:pPr>
              <w:numPr>
                <w:ilvl w:val="0"/>
                <w:numId w:val="2"/>
              </w:numPr>
              <w:spacing w:after="0" w:line="384" w:lineRule="atLeast"/>
              <w:ind w:left="480"/>
              <w:textAlignment w:val="baseline"/>
              <w:rPr>
                <w:rFonts w:ascii="Microsoft New Tai Lue" w:eastAsia="Times New Roman" w:hAnsi="Microsoft New Tai Lue" w:cs="Microsoft New Tai Lue"/>
                <w:color w:val="111111"/>
                <w:sz w:val="24"/>
                <w:szCs w:val="24"/>
              </w:rPr>
            </w:pPr>
            <w:hyperlink r:id="rId12" w:history="1">
              <w:r w:rsidR="00A50B3D" w:rsidRPr="009C0C2B">
                <w:rPr>
                  <w:rFonts w:ascii="Microsoft New Tai Lue" w:eastAsia="Times New Roman" w:hAnsi="Microsoft New Tai Lue" w:cs="Microsoft New Tai Lue"/>
                  <w:color w:val="CC0000"/>
                  <w:sz w:val="24"/>
                  <w:szCs w:val="24"/>
                  <w:u w:val="single"/>
                  <w:bdr w:val="none" w:sz="0" w:space="0" w:color="auto" w:frame="1"/>
                </w:rPr>
                <w:t>HIPR 6900: Research Thesis Preparation</w:t>
              </w:r>
            </w:hyperlink>
            <w:r w:rsidR="00A50B3D" w:rsidRPr="009C0C2B">
              <w:rPr>
                <w:rFonts w:ascii="Microsoft New Tai Lue" w:eastAsia="Times New Roman" w:hAnsi="Microsoft New Tai Lue" w:cs="Microsoft New Tai Lue"/>
                <w:color w:val="111111"/>
                <w:sz w:val="24"/>
                <w:szCs w:val="24"/>
              </w:rPr>
              <w:t> (2)</w:t>
            </w:r>
          </w:p>
          <w:p w:rsidR="00A50B3D" w:rsidRPr="003F31A2" w:rsidRDefault="00A50B3D" w:rsidP="00A50B3D">
            <w:pPr>
              <w:numPr>
                <w:ilvl w:val="0"/>
                <w:numId w:val="2"/>
              </w:numPr>
              <w:spacing w:after="0" w:line="384" w:lineRule="atLeast"/>
              <w:ind w:left="480"/>
              <w:textAlignment w:val="baseline"/>
              <w:rPr>
                <w:rFonts w:ascii="Microsoft New Tai Lue" w:eastAsia="Times New Roman" w:hAnsi="Microsoft New Tai Lue" w:cs="Microsoft New Tai Lue"/>
                <w:color w:val="111111"/>
                <w:sz w:val="24"/>
                <w:szCs w:val="24"/>
              </w:rPr>
            </w:pPr>
            <w:r w:rsidRPr="009C0C2B">
              <w:rPr>
                <w:rFonts w:ascii="Microsoft New Tai Lue" w:eastAsia="Times New Roman" w:hAnsi="Microsoft New Tai Lue" w:cs="Microsoft New Tai Lue"/>
                <w:color w:val="111111"/>
                <w:sz w:val="24"/>
                <w:szCs w:val="24"/>
              </w:rPr>
              <w:t>EDES 6560: History of the Built Environment II: Architecture (3)</w:t>
            </w:r>
            <w:r w:rsidR="00E31E12" w:rsidRPr="009C0C2B">
              <w:rPr>
                <w:rFonts w:ascii="Calibri" w:eastAsia="Times New Roman" w:hAnsi="Calibri" w:cs="Calibri"/>
                <w:color w:val="111111"/>
                <w:sz w:val="24"/>
                <w:szCs w:val="24"/>
              </w:rPr>
              <w:t>Ѳ</w:t>
            </w:r>
          </w:p>
          <w:p w:rsidR="003F31A2" w:rsidRPr="009C0C2B" w:rsidRDefault="00AF2592" w:rsidP="00A50B3D">
            <w:pPr>
              <w:numPr>
                <w:ilvl w:val="0"/>
                <w:numId w:val="2"/>
              </w:numPr>
              <w:spacing w:after="0" w:line="384" w:lineRule="atLeast"/>
              <w:ind w:left="480"/>
              <w:textAlignment w:val="baseline"/>
              <w:rPr>
                <w:rFonts w:ascii="Microsoft New Tai Lue" w:eastAsia="Times New Roman" w:hAnsi="Microsoft New Tai Lue" w:cs="Microsoft New Tai Lue"/>
                <w:color w:val="111111"/>
                <w:sz w:val="24"/>
                <w:szCs w:val="24"/>
              </w:rPr>
            </w:pPr>
            <w:hyperlink r:id="rId13" w:history="1">
              <w:r w:rsidR="003F31A2" w:rsidRPr="009C0C2B">
                <w:rPr>
                  <w:rFonts w:ascii="Microsoft New Tai Lue" w:eastAsia="Times New Roman" w:hAnsi="Microsoft New Tai Lue" w:cs="Microsoft New Tai Lue"/>
                  <w:color w:val="CC0000"/>
                  <w:sz w:val="24"/>
                  <w:szCs w:val="24"/>
                  <w:u w:val="single"/>
                  <w:bdr w:val="none" w:sz="0" w:space="0" w:color="auto" w:frame="1"/>
                </w:rPr>
                <w:t>Elective</w:t>
              </w:r>
            </w:hyperlink>
            <w:r w:rsidR="003F31A2" w:rsidRPr="009C0C2B">
              <w:rPr>
                <w:rFonts w:ascii="Microsoft New Tai Lue" w:eastAsia="Times New Roman" w:hAnsi="Microsoft New Tai Lue" w:cs="Microsoft New Tai Lue"/>
                <w:color w:val="111111"/>
                <w:sz w:val="24"/>
                <w:szCs w:val="24"/>
              </w:rPr>
              <w:t> (3)</w:t>
            </w:r>
          </w:p>
        </w:tc>
      </w:tr>
      <w:tr w:rsidR="00A50B3D" w:rsidRPr="009C0C2B" w:rsidTr="00DB216A">
        <w:tc>
          <w:tcPr>
            <w:tcW w:w="2628"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A50B3D" w:rsidRPr="009C0C2B" w:rsidRDefault="00A50B3D" w:rsidP="00A50B3D">
            <w:pPr>
              <w:spacing w:after="0" w:line="384" w:lineRule="atLeast"/>
              <w:rPr>
                <w:rFonts w:ascii="Microsoft New Tai Lue" w:eastAsia="Times New Roman" w:hAnsi="Microsoft New Tai Lue" w:cs="Microsoft New Tai Lue"/>
                <w:color w:val="111111"/>
                <w:sz w:val="24"/>
                <w:szCs w:val="24"/>
              </w:rPr>
            </w:pPr>
            <w:proofErr w:type="spellStart"/>
            <w:r w:rsidRPr="009C0C2B">
              <w:rPr>
                <w:rFonts w:ascii="Microsoft New Tai Lue" w:eastAsia="Times New Roman" w:hAnsi="Microsoft New Tai Lue" w:cs="Microsoft New Tai Lue"/>
                <w:color w:val="111111"/>
                <w:sz w:val="24"/>
                <w:szCs w:val="24"/>
              </w:rPr>
              <w:t>Maymester</w:t>
            </w:r>
            <w:proofErr w:type="spellEnd"/>
            <w:r w:rsidRPr="009C0C2B">
              <w:rPr>
                <w:rFonts w:ascii="Microsoft New Tai Lue" w:eastAsia="Times New Roman" w:hAnsi="Microsoft New Tai Lue" w:cs="Microsoft New Tai Lue"/>
                <w:color w:val="111111"/>
                <w:sz w:val="24"/>
                <w:szCs w:val="24"/>
              </w:rPr>
              <w:t xml:space="preserve"> or Summer (optional)</w:t>
            </w:r>
          </w:p>
        </w:tc>
        <w:tc>
          <w:tcPr>
            <w:tcW w:w="0" w:type="auto"/>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A50B3D" w:rsidRPr="009C0C2B" w:rsidRDefault="00AF2592" w:rsidP="00A50B3D">
            <w:pPr>
              <w:numPr>
                <w:ilvl w:val="0"/>
                <w:numId w:val="4"/>
              </w:numPr>
              <w:spacing w:after="0" w:line="384" w:lineRule="atLeast"/>
              <w:ind w:left="480"/>
              <w:textAlignment w:val="baseline"/>
              <w:rPr>
                <w:rFonts w:ascii="Microsoft New Tai Lue" w:eastAsia="Times New Roman" w:hAnsi="Microsoft New Tai Lue" w:cs="Microsoft New Tai Lue"/>
                <w:color w:val="111111"/>
                <w:sz w:val="24"/>
                <w:szCs w:val="24"/>
              </w:rPr>
            </w:pPr>
            <w:hyperlink r:id="rId14" w:history="1">
              <w:r w:rsidR="00A50B3D" w:rsidRPr="009C0C2B">
                <w:rPr>
                  <w:rFonts w:ascii="Microsoft New Tai Lue" w:eastAsia="Times New Roman" w:hAnsi="Microsoft New Tai Lue" w:cs="Microsoft New Tai Lue"/>
                  <w:color w:val="CC0000"/>
                  <w:sz w:val="24"/>
                  <w:szCs w:val="24"/>
                  <w:u w:val="single"/>
                  <w:bdr w:val="none" w:sz="0" w:space="0" w:color="auto" w:frame="1"/>
                </w:rPr>
                <w:t>HIPR 6613: Preservation Internship</w:t>
              </w:r>
            </w:hyperlink>
            <w:r w:rsidR="00A50B3D" w:rsidRPr="009C0C2B">
              <w:rPr>
                <w:rFonts w:ascii="Microsoft New Tai Lue" w:eastAsia="Times New Roman" w:hAnsi="Microsoft New Tai Lue" w:cs="Microsoft New Tai Lue"/>
                <w:color w:val="111111"/>
                <w:sz w:val="24"/>
                <w:szCs w:val="24"/>
              </w:rPr>
              <w:t xml:space="preserve"> (3) </w:t>
            </w:r>
            <w:r w:rsidR="009E210B">
              <w:rPr>
                <w:rFonts w:ascii="Arial" w:eastAsia="Times New Roman" w:hAnsi="Arial" w:cs="Arial"/>
                <w:color w:val="111111"/>
                <w:sz w:val="24"/>
                <w:szCs w:val="24"/>
              </w:rPr>
              <w:t>◊</w:t>
            </w:r>
          </w:p>
          <w:p w:rsidR="00A50B3D" w:rsidRPr="009C0C2B" w:rsidRDefault="00AF2592" w:rsidP="00A50B3D">
            <w:pPr>
              <w:numPr>
                <w:ilvl w:val="0"/>
                <w:numId w:val="4"/>
              </w:numPr>
              <w:spacing w:after="0" w:line="384" w:lineRule="atLeast"/>
              <w:ind w:left="480"/>
              <w:textAlignment w:val="baseline"/>
              <w:rPr>
                <w:rFonts w:ascii="Microsoft New Tai Lue" w:eastAsia="Times New Roman" w:hAnsi="Microsoft New Tai Lue" w:cs="Microsoft New Tai Lue"/>
                <w:color w:val="111111"/>
                <w:sz w:val="24"/>
                <w:szCs w:val="24"/>
              </w:rPr>
            </w:pPr>
            <w:hyperlink r:id="rId15" w:history="1">
              <w:r w:rsidR="00A50B3D" w:rsidRPr="009C0C2B">
                <w:rPr>
                  <w:rFonts w:ascii="Microsoft New Tai Lue" w:eastAsia="Times New Roman" w:hAnsi="Microsoft New Tai Lue" w:cs="Microsoft New Tai Lue"/>
                  <w:color w:val="CC0000"/>
                  <w:sz w:val="24"/>
                  <w:szCs w:val="24"/>
                  <w:u w:val="single"/>
                  <w:bdr w:val="none" w:sz="0" w:space="0" w:color="auto" w:frame="1"/>
                </w:rPr>
                <w:t>HIPR 6811: Georgia Coastal Field Studies</w:t>
              </w:r>
            </w:hyperlink>
            <w:r w:rsidR="00A50B3D" w:rsidRPr="009C0C2B">
              <w:rPr>
                <w:rFonts w:ascii="Microsoft New Tai Lue" w:eastAsia="Times New Roman" w:hAnsi="Microsoft New Tai Lue" w:cs="Microsoft New Tai Lue"/>
                <w:color w:val="111111"/>
                <w:sz w:val="24"/>
                <w:szCs w:val="24"/>
              </w:rPr>
              <w:t> (3)</w:t>
            </w:r>
            <w:r w:rsidR="00A50B3D" w:rsidRPr="009C0C2B">
              <w:rPr>
                <w:rFonts w:ascii="Arial" w:eastAsia="Times New Roman" w:hAnsi="Arial" w:cs="Arial"/>
                <w:color w:val="111111"/>
                <w:sz w:val="24"/>
                <w:szCs w:val="24"/>
              </w:rPr>
              <w:t>∆</w:t>
            </w:r>
          </w:p>
          <w:p w:rsidR="00A50B3D" w:rsidRPr="009C0C2B" w:rsidRDefault="00A50B3D" w:rsidP="00A50B3D">
            <w:pPr>
              <w:numPr>
                <w:ilvl w:val="0"/>
                <w:numId w:val="4"/>
              </w:numPr>
              <w:spacing w:after="0" w:line="384" w:lineRule="atLeast"/>
              <w:ind w:left="480"/>
              <w:textAlignment w:val="baseline"/>
              <w:rPr>
                <w:rFonts w:ascii="Microsoft New Tai Lue" w:eastAsia="Times New Roman" w:hAnsi="Microsoft New Tai Lue" w:cs="Microsoft New Tai Lue"/>
                <w:color w:val="111111"/>
                <w:sz w:val="24"/>
                <w:szCs w:val="24"/>
              </w:rPr>
            </w:pPr>
            <w:r w:rsidRPr="009C0C2B">
              <w:rPr>
                <w:rFonts w:ascii="Microsoft New Tai Lue" w:eastAsia="Times New Roman" w:hAnsi="Microsoft New Tai Lue" w:cs="Microsoft New Tai Lue"/>
                <w:color w:val="111111"/>
                <w:sz w:val="24"/>
                <w:szCs w:val="24"/>
              </w:rPr>
              <w:t>Various: Study Abroad (3)</w:t>
            </w:r>
          </w:p>
        </w:tc>
      </w:tr>
      <w:tr w:rsidR="00A50B3D" w:rsidRPr="009C0C2B" w:rsidTr="00DB216A">
        <w:tc>
          <w:tcPr>
            <w:tcW w:w="12825" w:type="dxa"/>
            <w:gridSpan w:val="2"/>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A50B3D" w:rsidRPr="009C0C2B" w:rsidRDefault="00A50B3D" w:rsidP="00A50B3D">
            <w:pPr>
              <w:spacing w:after="0" w:line="240" w:lineRule="atLeast"/>
              <w:jc w:val="center"/>
              <w:textAlignment w:val="baseline"/>
              <w:outlineLvl w:val="3"/>
              <w:rPr>
                <w:rFonts w:ascii="Microsoft New Tai Lue" w:eastAsia="Times New Roman" w:hAnsi="Microsoft New Tai Lue" w:cs="Microsoft New Tai Lue"/>
                <w:b/>
                <w:bCs/>
                <w:color w:val="222222"/>
                <w:sz w:val="30"/>
                <w:szCs w:val="30"/>
              </w:rPr>
            </w:pPr>
            <w:r w:rsidRPr="009C0C2B">
              <w:rPr>
                <w:rFonts w:ascii="Microsoft New Tai Lue" w:eastAsia="Times New Roman" w:hAnsi="Microsoft New Tai Lue" w:cs="Microsoft New Tai Lue"/>
                <w:b/>
                <w:bCs/>
                <w:color w:val="222222"/>
                <w:sz w:val="30"/>
                <w:szCs w:val="30"/>
                <w:bdr w:val="none" w:sz="0" w:space="0" w:color="auto" w:frame="1"/>
              </w:rPr>
              <w:t>YEAR 2</w:t>
            </w:r>
          </w:p>
        </w:tc>
      </w:tr>
      <w:tr w:rsidR="00A50B3D" w:rsidRPr="009C0C2B" w:rsidTr="00DB216A">
        <w:tc>
          <w:tcPr>
            <w:tcW w:w="2628"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A50B3D" w:rsidRPr="009C0C2B" w:rsidRDefault="00AF2592" w:rsidP="00A50B3D">
            <w:pPr>
              <w:spacing w:after="0" w:line="384" w:lineRule="atLeast"/>
              <w:rPr>
                <w:rFonts w:ascii="Microsoft New Tai Lue" w:eastAsia="Times New Roman" w:hAnsi="Microsoft New Tai Lue" w:cs="Microsoft New Tai Lue"/>
                <w:color w:val="111111"/>
                <w:sz w:val="24"/>
                <w:szCs w:val="24"/>
              </w:rPr>
            </w:pPr>
            <w:r>
              <w:rPr>
                <w:rFonts w:ascii="Microsoft New Tai Lue" w:eastAsia="Times New Roman" w:hAnsi="Microsoft New Tai Lue" w:cs="Microsoft New Tai Lue"/>
                <w:color w:val="111111"/>
                <w:sz w:val="24"/>
                <w:szCs w:val="24"/>
              </w:rPr>
              <w:t>Fall (16</w:t>
            </w:r>
            <w:r w:rsidR="00A50B3D" w:rsidRPr="009C0C2B">
              <w:rPr>
                <w:rFonts w:ascii="Microsoft New Tai Lue" w:eastAsia="Times New Roman" w:hAnsi="Microsoft New Tai Lue" w:cs="Microsoft New Tai Lue"/>
                <w:color w:val="111111"/>
                <w:sz w:val="24"/>
                <w:szCs w:val="24"/>
              </w:rPr>
              <w:t xml:space="preserve"> hours)</w:t>
            </w:r>
          </w:p>
        </w:tc>
        <w:tc>
          <w:tcPr>
            <w:tcW w:w="0" w:type="auto"/>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3F31A2" w:rsidRDefault="00AF2592" w:rsidP="003F31A2">
            <w:pPr>
              <w:numPr>
                <w:ilvl w:val="0"/>
                <w:numId w:val="5"/>
              </w:numPr>
              <w:spacing w:after="0" w:line="384" w:lineRule="atLeast"/>
              <w:ind w:left="480"/>
              <w:textAlignment w:val="baseline"/>
              <w:rPr>
                <w:rFonts w:ascii="Microsoft New Tai Lue" w:eastAsia="Times New Roman" w:hAnsi="Microsoft New Tai Lue" w:cs="Microsoft New Tai Lue"/>
                <w:color w:val="111111"/>
                <w:sz w:val="24"/>
                <w:szCs w:val="24"/>
              </w:rPr>
            </w:pPr>
            <w:hyperlink r:id="rId16" w:history="1">
              <w:r w:rsidR="00A50B3D" w:rsidRPr="009C0C2B">
                <w:rPr>
                  <w:rFonts w:ascii="Microsoft New Tai Lue" w:eastAsia="Times New Roman" w:hAnsi="Microsoft New Tai Lue" w:cs="Microsoft New Tai Lue"/>
                  <w:color w:val="CC0000"/>
                  <w:sz w:val="24"/>
                  <w:szCs w:val="24"/>
                  <w:u w:val="single"/>
                  <w:bdr w:val="none" w:sz="0" w:space="0" w:color="auto" w:frame="1"/>
                </w:rPr>
                <w:t>HIPR 6350: Building Materials Conservation</w:t>
              </w:r>
            </w:hyperlink>
            <w:r w:rsidR="00A50B3D" w:rsidRPr="009C0C2B">
              <w:rPr>
                <w:rFonts w:ascii="Microsoft New Tai Lue" w:eastAsia="Times New Roman" w:hAnsi="Microsoft New Tai Lue" w:cs="Microsoft New Tai Lue"/>
                <w:color w:val="111111"/>
                <w:sz w:val="24"/>
                <w:szCs w:val="24"/>
              </w:rPr>
              <w:t> (4)</w:t>
            </w:r>
          </w:p>
          <w:p w:rsidR="003F31A2" w:rsidRPr="003F31A2" w:rsidRDefault="003F31A2" w:rsidP="003F31A2">
            <w:pPr>
              <w:numPr>
                <w:ilvl w:val="0"/>
                <w:numId w:val="5"/>
              </w:numPr>
              <w:spacing w:after="0" w:line="384" w:lineRule="atLeast"/>
              <w:ind w:left="480"/>
              <w:textAlignment w:val="baseline"/>
              <w:rPr>
                <w:rFonts w:ascii="Microsoft New Tai Lue" w:eastAsia="Times New Roman" w:hAnsi="Microsoft New Tai Lue" w:cs="Microsoft New Tai Lue"/>
                <w:color w:val="111111"/>
                <w:sz w:val="24"/>
                <w:szCs w:val="24"/>
              </w:rPr>
            </w:pPr>
            <w:r w:rsidRPr="003F31A2">
              <w:rPr>
                <w:rFonts w:ascii="Microsoft New Tai Lue" w:eastAsia="Times New Roman" w:hAnsi="Microsoft New Tai Lue" w:cs="Microsoft New Tai Lue"/>
                <w:color w:val="111111"/>
                <w:sz w:val="24"/>
                <w:szCs w:val="24"/>
              </w:rPr>
              <w:t>HIPR 6950:Historic Preservation Planning  (3)</w:t>
            </w:r>
          </w:p>
          <w:p w:rsidR="00A50B3D" w:rsidRPr="009C0C2B" w:rsidRDefault="00DB216A" w:rsidP="00A50B3D">
            <w:pPr>
              <w:numPr>
                <w:ilvl w:val="0"/>
                <w:numId w:val="5"/>
              </w:numPr>
              <w:spacing w:after="0" w:line="384" w:lineRule="atLeast"/>
              <w:ind w:left="480"/>
              <w:textAlignment w:val="baseline"/>
              <w:rPr>
                <w:rFonts w:ascii="Microsoft New Tai Lue" w:eastAsia="Times New Roman" w:hAnsi="Microsoft New Tai Lue" w:cs="Microsoft New Tai Lue"/>
                <w:color w:val="111111"/>
                <w:sz w:val="24"/>
                <w:szCs w:val="24"/>
              </w:rPr>
            </w:pPr>
            <w:r>
              <w:rPr>
                <w:rFonts w:ascii="Microsoft New Tai Lue" w:eastAsia="Times New Roman" w:hAnsi="Microsoft New Tai Lue" w:cs="Microsoft New Tai Lue"/>
                <w:color w:val="111111"/>
                <w:sz w:val="24"/>
                <w:szCs w:val="24"/>
              </w:rPr>
              <w:t>HIPR 73</w:t>
            </w:r>
            <w:r w:rsidR="00A50B3D" w:rsidRPr="009C0C2B">
              <w:rPr>
                <w:rFonts w:ascii="Microsoft New Tai Lue" w:eastAsia="Times New Roman" w:hAnsi="Microsoft New Tai Lue" w:cs="Microsoft New Tai Lue"/>
                <w:color w:val="111111"/>
                <w:sz w:val="24"/>
                <w:szCs w:val="24"/>
              </w:rPr>
              <w:t xml:space="preserve">00: </w:t>
            </w:r>
            <w:r>
              <w:rPr>
                <w:rFonts w:ascii="Microsoft New Tai Lue" w:eastAsia="Times New Roman" w:hAnsi="Microsoft New Tai Lue" w:cs="Microsoft New Tai Lue"/>
                <w:color w:val="111111"/>
                <w:sz w:val="24"/>
                <w:szCs w:val="24"/>
              </w:rPr>
              <w:t>MHP</w:t>
            </w:r>
            <w:r w:rsidR="00A50B3D" w:rsidRPr="009C0C2B">
              <w:rPr>
                <w:rFonts w:ascii="Microsoft New Tai Lue" w:eastAsia="Times New Roman" w:hAnsi="Microsoft New Tai Lue" w:cs="Microsoft New Tai Lue"/>
                <w:color w:val="111111"/>
                <w:sz w:val="24"/>
                <w:szCs w:val="24"/>
              </w:rPr>
              <w:t> Thesis (3)</w:t>
            </w:r>
          </w:p>
          <w:p w:rsidR="00A50B3D" w:rsidRDefault="00AF2592" w:rsidP="00A50B3D">
            <w:pPr>
              <w:numPr>
                <w:ilvl w:val="0"/>
                <w:numId w:val="5"/>
              </w:numPr>
              <w:spacing w:after="0" w:line="384" w:lineRule="atLeast"/>
              <w:ind w:left="480"/>
              <w:textAlignment w:val="baseline"/>
              <w:rPr>
                <w:rFonts w:ascii="Microsoft New Tai Lue" w:eastAsia="Times New Roman" w:hAnsi="Microsoft New Tai Lue" w:cs="Microsoft New Tai Lue"/>
                <w:color w:val="111111"/>
                <w:sz w:val="24"/>
                <w:szCs w:val="24"/>
              </w:rPr>
            </w:pPr>
            <w:hyperlink r:id="rId17" w:history="1">
              <w:r w:rsidR="00A50B3D" w:rsidRPr="009C0C2B">
                <w:rPr>
                  <w:rFonts w:ascii="Microsoft New Tai Lue" w:eastAsia="Times New Roman" w:hAnsi="Microsoft New Tai Lue" w:cs="Microsoft New Tai Lue"/>
                  <w:color w:val="CC0000"/>
                  <w:sz w:val="24"/>
                  <w:szCs w:val="24"/>
                  <w:u w:val="single"/>
                  <w:bdr w:val="none" w:sz="0" w:space="0" w:color="auto" w:frame="1"/>
                </w:rPr>
                <w:t>Elective</w:t>
              </w:r>
            </w:hyperlink>
            <w:r w:rsidR="00A50B3D" w:rsidRPr="009C0C2B">
              <w:rPr>
                <w:rFonts w:ascii="Microsoft New Tai Lue" w:eastAsia="Times New Roman" w:hAnsi="Microsoft New Tai Lue" w:cs="Microsoft New Tai Lue"/>
                <w:color w:val="111111"/>
                <w:sz w:val="24"/>
                <w:szCs w:val="24"/>
              </w:rPr>
              <w:t> (3)</w:t>
            </w:r>
          </w:p>
          <w:p w:rsidR="00AF2592" w:rsidRPr="00AF2592" w:rsidRDefault="00AF2592" w:rsidP="00AF2592">
            <w:pPr>
              <w:numPr>
                <w:ilvl w:val="0"/>
                <w:numId w:val="5"/>
              </w:numPr>
              <w:spacing w:after="0" w:line="384" w:lineRule="atLeast"/>
              <w:ind w:left="480"/>
              <w:textAlignment w:val="baseline"/>
              <w:rPr>
                <w:rFonts w:ascii="Microsoft New Tai Lue" w:eastAsia="Times New Roman" w:hAnsi="Microsoft New Tai Lue" w:cs="Microsoft New Tai Lue"/>
                <w:color w:val="111111"/>
                <w:sz w:val="24"/>
                <w:szCs w:val="24"/>
              </w:rPr>
            </w:pPr>
            <w:hyperlink r:id="rId18" w:history="1">
              <w:r w:rsidRPr="009C0C2B">
                <w:rPr>
                  <w:rFonts w:ascii="Microsoft New Tai Lue" w:eastAsia="Times New Roman" w:hAnsi="Microsoft New Tai Lue" w:cs="Microsoft New Tai Lue"/>
                  <w:color w:val="CC0000"/>
                  <w:sz w:val="24"/>
                  <w:szCs w:val="24"/>
                  <w:u w:val="single"/>
                  <w:bdr w:val="none" w:sz="0" w:space="0" w:color="auto" w:frame="1"/>
                </w:rPr>
                <w:t>Elective</w:t>
              </w:r>
            </w:hyperlink>
            <w:r w:rsidRPr="009C0C2B">
              <w:rPr>
                <w:rFonts w:ascii="Microsoft New Tai Lue" w:eastAsia="Times New Roman" w:hAnsi="Microsoft New Tai Lue" w:cs="Microsoft New Tai Lue"/>
                <w:color w:val="111111"/>
                <w:sz w:val="24"/>
                <w:szCs w:val="24"/>
              </w:rPr>
              <w:t> (3)</w:t>
            </w:r>
          </w:p>
        </w:tc>
      </w:tr>
      <w:tr w:rsidR="00A50B3D" w:rsidRPr="009C0C2B" w:rsidTr="00DB216A">
        <w:tc>
          <w:tcPr>
            <w:tcW w:w="2628" w:type="dxa"/>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A50B3D" w:rsidRPr="009C0C2B" w:rsidRDefault="00AF2592" w:rsidP="00A50B3D">
            <w:pPr>
              <w:spacing w:after="0" w:line="384" w:lineRule="atLeast"/>
              <w:rPr>
                <w:rFonts w:ascii="Microsoft New Tai Lue" w:eastAsia="Times New Roman" w:hAnsi="Microsoft New Tai Lue" w:cs="Microsoft New Tai Lue"/>
                <w:color w:val="111111"/>
                <w:sz w:val="24"/>
                <w:szCs w:val="24"/>
              </w:rPr>
            </w:pPr>
            <w:r>
              <w:rPr>
                <w:rFonts w:ascii="Microsoft New Tai Lue" w:eastAsia="Times New Roman" w:hAnsi="Microsoft New Tai Lue" w:cs="Microsoft New Tai Lue"/>
                <w:color w:val="111111"/>
                <w:sz w:val="24"/>
                <w:szCs w:val="24"/>
              </w:rPr>
              <w:t>Spring (13</w:t>
            </w:r>
            <w:r w:rsidR="00A50B3D" w:rsidRPr="009C0C2B">
              <w:rPr>
                <w:rFonts w:ascii="Microsoft New Tai Lue" w:eastAsia="Times New Roman" w:hAnsi="Microsoft New Tai Lue" w:cs="Microsoft New Tai Lue"/>
                <w:color w:val="111111"/>
                <w:sz w:val="24"/>
                <w:szCs w:val="24"/>
              </w:rPr>
              <w:t xml:space="preserve"> hours)</w:t>
            </w:r>
          </w:p>
        </w:tc>
        <w:tc>
          <w:tcPr>
            <w:tcW w:w="0" w:type="auto"/>
            <w:tcBorders>
              <w:top w:val="single" w:sz="6" w:space="0" w:color="DDDDDD"/>
              <w:left w:val="nil"/>
              <w:bottom w:val="nil"/>
              <w:right w:val="nil"/>
            </w:tcBorders>
            <w:shd w:val="clear" w:color="auto" w:fill="FFFFFF"/>
            <w:tcMar>
              <w:top w:w="48" w:type="dxa"/>
              <w:left w:w="240" w:type="dxa"/>
              <w:bottom w:w="48" w:type="dxa"/>
              <w:right w:w="240" w:type="dxa"/>
            </w:tcMar>
            <w:vAlign w:val="bottom"/>
            <w:hideMark/>
          </w:tcPr>
          <w:p w:rsidR="00DB216A" w:rsidRDefault="00DB216A" w:rsidP="00DB216A">
            <w:pPr>
              <w:numPr>
                <w:ilvl w:val="0"/>
                <w:numId w:val="6"/>
              </w:numPr>
              <w:spacing w:after="0" w:line="384" w:lineRule="atLeast"/>
              <w:textAlignment w:val="baseline"/>
              <w:rPr>
                <w:rFonts w:ascii="Microsoft New Tai Lue" w:eastAsia="Times New Roman" w:hAnsi="Microsoft New Tai Lue" w:cs="Microsoft New Tai Lue"/>
                <w:color w:val="111111"/>
                <w:sz w:val="24"/>
                <w:szCs w:val="24"/>
              </w:rPr>
            </w:pPr>
            <w:r w:rsidRPr="009C0C2B">
              <w:rPr>
                <w:rFonts w:ascii="Microsoft New Tai Lue" w:eastAsia="Times New Roman" w:hAnsi="Microsoft New Tai Lue" w:cs="Microsoft New Tai Lue"/>
                <w:color w:val="111111"/>
                <w:sz w:val="24"/>
                <w:szCs w:val="24"/>
              </w:rPr>
              <w:t>HIPR 6025: Preservation Perspectives Field Study (1)†</w:t>
            </w:r>
          </w:p>
          <w:p w:rsidR="00A50B3D" w:rsidRPr="00DB216A" w:rsidRDefault="00DB216A" w:rsidP="00DB216A">
            <w:pPr>
              <w:numPr>
                <w:ilvl w:val="0"/>
                <w:numId w:val="6"/>
              </w:numPr>
              <w:spacing w:after="0" w:line="384" w:lineRule="atLeast"/>
              <w:textAlignment w:val="baseline"/>
              <w:rPr>
                <w:rFonts w:ascii="Microsoft New Tai Lue" w:eastAsia="Times New Roman" w:hAnsi="Microsoft New Tai Lue" w:cs="Microsoft New Tai Lue"/>
                <w:color w:val="111111"/>
                <w:sz w:val="24"/>
                <w:szCs w:val="24"/>
              </w:rPr>
            </w:pPr>
            <w:r>
              <w:rPr>
                <w:rFonts w:ascii="Microsoft New Tai Lue" w:eastAsia="Times New Roman" w:hAnsi="Microsoft New Tai Lue" w:cs="Microsoft New Tai Lue"/>
                <w:color w:val="111111"/>
                <w:sz w:val="24"/>
                <w:szCs w:val="24"/>
              </w:rPr>
              <w:t>HIPR 73</w:t>
            </w:r>
            <w:r w:rsidRPr="009C0C2B">
              <w:rPr>
                <w:rFonts w:ascii="Microsoft New Tai Lue" w:eastAsia="Times New Roman" w:hAnsi="Microsoft New Tai Lue" w:cs="Microsoft New Tai Lue"/>
                <w:color w:val="111111"/>
                <w:sz w:val="24"/>
                <w:szCs w:val="24"/>
              </w:rPr>
              <w:t xml:space="preserve">00: </w:t>
            </w:r>
            <w:r>
              <w:rPr>
                <w:rFonts w:ascii="Microsoft New Tai Lue" w:eastAsia="Times New Roman" w:hAnsi="Microsoft New Tai Lue" w:cs="Microsoft New Tai Lue"/>
                <w:color w:val="111111"/>
                <w:sz w:val="24"/>
                <w:szCs w:val="24"/>
              </w:rPr>
              <w:t>MHP</w:t>
            </w:r>
            <w:r w:rsidRPr="009C0C2B">
              <w:rPr>
                <w:rFonts w:ascii="Microsoft New Tai Lue" w:eastAsia="Times New Roman" w:hAnsi="Microsoft New Tai Lue" w:cs="Microsoft New Tai Lue"/>
                <w:color w:val="111111"/>
                <w:sz w:val="24"/>
                <w:szCs w:val="24"/>
              </w:rPr>
              <w:t> Thesis (3)</w:t>
            </w:r>
          </w:p>
          <w:p w:rsidR="00A50B3D" w:rsidRPr="00DB216A" w:rsidRDefault="00DB216A" w:rsidP="00DB216A">
            <w:pPr>
              <w:numPr>
                <w:ilvl w:val="0"/>
                <w:numId w:val="6"/>
              </w:numPr>
              <w:spacing w:after="0" w:line="384" w:lineRule="atLeast"/>
              <w:textAlignment w:val="baseline"/>
              <w:rPr>
                <w:rFonts w:ascii="Microsoft New Tai Lue" w:eastAsia="Times New Roman" w:hAnsi="Microsoft New Tai Lue" w:cs="Microsoft New Tai Lue"/>
                <w:color w:val="111111"/>
                <w:sz w:val="24"/>
                <w:szCs w:val="24"/>
              </w:rPr>
            </w:pPr>
            <w:r>
              <w:rPr>
                <w:rFonts w:ascii="Microsoft New Tai Lue" w:eastAsia="Times New Roman" w:hAnsi="Microsoft New Tai Lue" w:cs="Microsoft New Tai Lue"/>
                <w:color w:val="111111"/>
                <w:sz w:val="24"/>
                <w:szCs w:val="24"/>
              </w:rPr>
              <w:t>HIPR 73</w:t>
            </w:r>
            <w:r w:rsidRPr="009C0C2B">
              <w:rPr>
                <w:rFonts w:ascii="Microsoft New Tai Lue" w:eastAsia="Times New Roman" w:hAnsi="Microsoft New Tai Lue" w:cs="Microsoft New Tai Lue"/>
                <w:color w:val="111111"/>
                <w:sz w:val="24"/>
                <w:szCs w:val="24"/>
              </w:rPr>
              <w:t xml:space="preserve">00: </w:t>
            </w:r>
            <w:r>
              <w:rPr>
                <w:rFonts w:ascii="Microsoft New Tai Lue" w:eastAsia="Times New Roman" w:hAnsi="Microsoft New Tai Lue" w:cs="Microsoft New Tai Lue"/>
                <w:color w:val="111111"/>
                <w:sz w:val="24"/>
                <w:szCs w:val="24"/>
              </w:rPr>
              <w:t>MHP</w:t>
            </w:r>
            <w:r w:rsidRPr="009C0C2B">
              <w:rPr>
                <w:rFonts w:ascii="Microsoft New Tai Lue" w:eastAsia="Times New Roman" w:hAnsi="Microsoft New Tai Lue" w:cs="Microsoft New Tai Lue"/>
                <w:color w:val="111111"/>
                <w:sz w:val="24"/>
                <w:szCs w:val="24"/>
              </w:rPr>
              <w:t> Thesis (3)</w:t>
            </w:r>
          </w:p>
          <w:p w:rsidR="00A50B3D" w:rsidRPr="009C0C2B" w:rsidRDefault="00AF2592" w:rsidP="00DB216A">
            <w:pPr>
              <w:numPr>
                <w:ilvl w:val="0"/>
                <w:numId w:val="6"/>
              </w:numPr>
              <w:spacing w:after="0" w:line="384" w:lineRule="atLeast"/>
              <w:textAlignment w:val="baseline"/>
              <w:rPr>
                <w:rFonts w:ascii="Microsoft New Tai Lue" w:eastAsia="Times New Roman" w:hAnsi="Microsoft New Tai Lue" w:cs="Microsoft New Tai Lue"/>
                <w:color w:val="111111"/>
                <w:sz w:val="24"/>
                <w:szCs w:val="24"/>
              </w:rPr>
            </w:pPr>
            <w:hyperlink r:id="rId19" w:history="1">
              <w:r w:rsidR="00A50B3D" w:rsidRPr="009C0C2B">
                <w:rPr>
                  <w:rFonts w:ascii="Microsoft New Tai Lue" w:eastAsia="Times New Roman" w:hAnsi="Microsoft New Tai Lue" w:cs="Microsoft New Tai Lue"/>
                  <w:color w:val="CC0000"/>
                  <w:sz w:val="24"/>
                  <w:szCs w:val="24"/>
                  <w:u w:val="single"/>
                  <w:bdr w:val="none" w:sz="0" w:space="0" w:color="auto" w:frame="1"/>
                </w:rPr>
                <w:t>Elective</w:t>
              </w:r>
            </w:hyperlink>
            <w:r w:rsidR="00A50B3D" w:rsidRPr="009C0C2B">
              <w:rPr>
                <w:rFonts w:ascii="Microsoft New Tai Lue" w:eastAsia="Times New Roman" w:hAnsi="Microsoft New Tai Lue" w:cs="Microsoft New Tai Lue"/>
                <w:color w:val="111111"/>
                <w:sz w:val="24"/>
                <w:szCs w:val="24"/>
              </w:rPr>
              <w:t> (3)</w:t>
            </w:r>
          </w:p>
          <w:p w:rsidR="00A50B3D" w:rsidRPr="009C0C2B" w:rsidRDefault="00AF2592" w:rsidP="00DB216A">
            <w:pPr>
              <w:numPr>
                <w:ilvl w:val="0"/>
                <w:numId w:val="6"/>
              </w:numPr>
              <w:spacing w:after="0" w:line="384" w:lineRule="atLeast"/>
              <w:textAlignment w:val="baseline"/>
              <w:rPr>
                <w:rFonts w:ascii="Microsoft New Tai Lue" w:eastAsia="Times New Roman" w:hAnsi="Microsoft New Tai Lue" w:cs="Microsoft New Tai Lue"/>
                <w:color w:val="111111"/>
                <w:sz w:val="24"/>
                <w:szCs w:val="24"/>
              </w:rPr>
            </w:pPr>
            <w:hyperlink r:id="rId20" w:history="1">
              <w:r w:rsidR="00A50B3D" w:rsidRPr="009C0C2B">
                <w:rPr>
                  <w:rFonts w:ascii="Microsoft New Tai Lue" w:eastAsia="Times New Roman" w:hAnsi="Microsoft New Tai Lue" w:cs="Microsoft New Tai Lue"/>
                  <w:color w:val="CC0000"/>
                  <w:sz w:val="24"/>
                  <w:szCs w:val="24"/>
                  <w:u w:val="single"/>
                  <w:bdr w:val="none" w:sz="0" w:space="0" w:color="auto" w:frame="1"/>
                </w:rPr>
                <w:t>Elective</w:t>
              </w:r>
            </w:hyperlink>
            <w:r w:rsidR="00A50B3D" w:rsidRPr="009C0C2B">
              <w:rPr>
                <w:rFonts w:ascii="Microsoft New Tai Lue" w:eastAsia="Times New Roman" w:hAnsi="Microsoft New Tai Lue" w:cs="Microsoft New Tai Lue"/>
                <w:color w:val="111111"/>
                <w:sz w:val="24"/>
                <w:szCs w:val="24"/>
              </w:rPr>
              <w:t> (3)</w:t>
            </w:r>
          </w:p>
        </w:tc>
      </w:tr>
    </w:tbl>
    <w:p w:rsidR="00A50B3D" w:rsidRPr="009C0C2B" w:rsidRDefault="00A50B3D" w:rsidP="00A50B3D">
      <w:pPr>
        <w:shd w:val="clear" w:color="auto" w:fill="FFFFFF"/>
        <w:spacing w:before="180" w:after="180" w:line="384" w:lineRule="atLeast"/>
        <w:textAlignment w:val="baseline"/>
        <w:rPr>
          <w:rFonts w:ascii="Microsoft New Tai Lue" w:eastAsia="Times New Roman" w:hAnsi="Microsoft New Tai Lue" w:cs="Microsoft New Tai Lue"/>
          <w:color w:val="111111"/>
          <w:sz w:val="24"/>
          <w:szCs w:val="24"/>
        </w:rPr>
      </w:pPr>
      <w:r w:rsidRPr="009C0C2B">
        <w:rPr>
          <w:rFonts w:ascii="Microsoft New Tai Lue" w:eastAsia="Times New Roman" w:hAnsi="Microsoft New Tai Lue" w:cs="Microsoft New Tai Lue"/>
          <w:color w:val="111111"/>
          <w:sz w:val="24"/>
          <w:szCs w:val="24"/>
        </w:rPr>
        <w:lastRenderedPageBreak/>
        <w:t>The electives available to students enable them to craft a broad program, examining a wide range of preservation and preservation-related subjects or to develop an individualized concentration or specialization in a particular subject matter of interest.  Common additions include courses in landscape and planning, offered within CED are particularly appropriate, but students can focus on other disciplines such as history, nonprofit management, interior design, archaeology, etc. Several programs inside and outside CED offer Graduate Certificates.</w:t>
      </w:r>
    </w:p>
    <w:p w:rsidR="00A50B3D" w:rsidRPr="009C0C2B" w:rsidRDefault="00A50B3D" w:rsidP="00A50B3D">
      <w:pPr>
        <w:shd w:val="clear" w:color="auto" w:fill="FFFFFF"/>
        <w:spacing w:after="0" w:line="384" w:lineRule="atLeast"/>
        <w:textAlignment w:val="baseline"/>
        <w:rPr>
          <w:rFonts w:ascii="Microsoft New Tai Lue" w:eastAsia="Times New Roman" w:hAnsi="Microsoft New Tai Lue" w:cs="Microsoft New Tai Lue"/>
          <w:color w:val="111111"/>
          <w:sz w:val="24"/>
          <w:szCs w:val="24"/>
        </w:rPr>
      </w:pPr>
      <w:proofErr w:type="gramStart"/>
      <w:r w:rsidRPr="009C0C2B">
        <w:rPr>
          <w:rFonts w:ascii="Microsoft New Tai Lue" w:eastAsia="Times New Roman" w:hAnsi="Microsoft New Tai Lue" w:cs="Microsoft New Tai Lue"/>
          <w:i/>
          <w:iCs/>
          <w:color w:val="111111"/>
          <w:sz w:val="24"/>
          <w:szCs w:val="24"/>
          <w:bdr w:val="none" w:sz="0" w:space="0" w:color="auto" w:frame="1"/>
        </w:rPr>
        <w:t>†  Each</w:t>
      </w:r>
      <w:proofErr w:type="gramEnd"/>
      <w:r w:rsidRPr="009C0C2B">
        <w:rPr>
          <w:rFonts w:ascii="Microsoft New Tai Lue" w:eastAsia="Times New Roman" w:hAnsi="Microsoft New Tai Lue" w:cs="Microsoft New Tai Lue"/>
          <w:i/>
          <w:iCs/>
          <w:color w:val="111111"/>
          <w:sz w:val="24"/>
          <w:szCs w:val="24"/>
          <w:bdr w:val="none" w:sz="0" w:space="0" w:color="auto" w:frame="1"/>
        </w:rPr>
        <w:t xml:space="preserve"> year the program conducts a brief, intensive field study alternating between Charleston, SC and Savannah, GA in which both first and second year students and multiple faculty members participate.</w:t>
      </w:r>
    </w:p>
    <w:p w:rsidR="00A50B3D" w:rsidRPr="009C0C2B" w:rsidRDefault="00A50B3D" w:rsidP="00A50B3D">
      <w:pPr>
        <w:shd w:val="clear" w:color="auto" w:fill="FFFFFF"/>
        <w:spacing w:after="0" w:line="384" w:lineRule="atLeast"/>
        <w:textAlignment w:val="baseline"/>
        <w:rPr>
          <w:rFonts w:ascii="Microsoft New Tai Lue" w:eastAsia="Times New Roman" w:hAnsi="Microsoft New Tai Lue" w:cs="Microsoft New Tai Lue"/>
          <w:color w:val="111111"/>
          <w:sz w:val="24"/>
          <w:szCs w:val="24"/>
        </w:rPr>
      </w:pPr>
      <w:proofErr w:type="gramStart"/>
      <w:r w:rsidRPr="009C0C2B">
        <w:rPr>
          <w:rFonts w:ascii="Microsoft New Tai Lue" w:eastAsia="Times New Roman" w:hAnsi="Microsoft New Tai Lue" w:cs="Microsoft New Tai Lue"/>
          <w:i/>
          <w:iCs/>
          <w:color w:val="111111"/>
          <w:sz w:val="24"/>
          <w:szCs w:val="24"/>
          <w:bdr w:val="none" w:sz="0" w:space="0" w:color="auto" w:frame="1"/>
        </w:rPr>
        <w:t>‡  Students</w:t>
      </w:r>
      <w:proofErr w:type="gramEnd"/>
      <w:r w:rsidRPr="009C0C2B">
        <w:rPr>
          <w:rFonts w:ascii="Microsoft New Tai Lue" w:eastAsia="Times New Roman" w:hAnsi="Microsoft New Tai Lue" w:cs="Microsoft New Tai Lue"/>
          <w:i/>
          <w:iCs/>
          <w:color w:val="111111"/>
          <w:sz w:val="24"/>
          <w:szCs w:val="24"/>
          <w:bdr w:val="none" w:sz="0" w:space="0" w:color="auto" w:frame="1"/>
        </w:rPr>
        <w:t xml:space="preserve"> with a design degree or significant design experience may substitute an elective for HIPR 6060 and/or HIPR 6660.</w:t>
      </w:r>
    </w:p>
    <w:p w:rsidR="00A50B3D" w:rsidRPr="009C0C2B" w:rsidRDefault="00A50B3D" w:rsidP="00A50B3D">
      <w:pPr>
        <w:shd w:val="clear" w:color="auto" w:fill="FFFFFF"/>
        <w:spacing w:after="0" w:line="384" w:lineRule="atLeast"/>
        <w:textAlignment w:val="baseline"/>
        <w:rPr>
          <w:rFonts w:ascii="Microsoft New Tai Lue" w:eastAsia="Times New Roman" w:hAnsi="Microsoft New Tai Lue" w:cs="Microsoft New Tai Lue"/>
          <w:i/>
          <w:iCs/>
          <w:color w:val="111111"/>
          <w:sz w:val="24"/>
          <w:szCs w:val="24"/>
          <w:bdr w:val="none" w:sz="0" w:space="0" w:color="auto" w:frame="1"/>
        </w:rPr>
      </w:pPr>
      <w:proofErr w:type="gramStart"/>
      <w:r w:rsidRPr="009C0C2B">
        <w:rPr>
          <w:rFonts w:ascii="Arial" w:eastAsia="Times New Roman" w:hAnsi="Arial" w:cs="Arial"/>
          <w:i/>
          <w:iCs/>
          <w:color w:val="111111"/>
          <w:sz w:val="24"/>
          <w:szCs w:val="24"/>
          <w:bdr w:val="none" w:sz="0" w:space="0" w:color="auto" w:frame="1"/>
        </w:rPr>
        <w:t>◊</w:t>
      </w:r>
      <w:r w:rsidRPr="009C0C2B">
        <w:rPr>
          <w:rFonts w:ascii="Microsoft New Tai Lue" w:eastAsia="Times New Roman" w:hAnsi="Microsoft New Tai Lue" w:cs="Microsoft New Tai Lue"/>
          <w:i/>
          <w:iCs/>
          <w:color w:val="111111"/>
          <w:sz w:val="24"/>
          <w:szCs w:val="24"/>
          <w:bdr w:val="none" w:sz="0" w:space="0" w:color="auto" w:frame="1"/>
        </w:rPr>
        <w:t xml:space="preserve">  While</w:t>
      </w:r>
      <w:proofErr w:type="gramEnd"/>
      <w:r w:rsidRPr="009C0C2B">
        <w:rPr>
          <w:rFonts w:ascii="Microsoft New Tai Lue" w:eastAsia="Times New Roman" w:hAnsi="Microsoft New Tai Lue" w:cs="Microsoft New Tai Lue"/>
          <w:i/>
          <w:iCs/>
          <w:color w:val="111111"/>
          <w:sz w:val="24"/>
          <w:szCs w:val="24"/>
          <w:bdr w:val="none" w:sz="0" w:space="0" w:color="auto" w:frame="1"/>
        </w:rPr>
        <w:t xml:space="preserve"> traditionally taken in the summer, HIPR 6613 Preservation Internship may be taken any semester.</w:t>
      </w:r>
    </w:p>
    <w:p w:rsidR="00A50B3D" w:rsidRPr="009C0C2B" w:rsidRDefault="00A50B3D" w:rsidP="00A50B3D">
      <w:pPr>
        <w:shd w:val="clear" w:color="auto" w:fill="FFFFFF"/>
        <w:spacing w:after="0" w:line="384" w:lineRule="atLeast"/>
        <w:textAlignment w:val="baseline"/>
        <w:rPr>
          <w:rFonts w:ascii="Microsoft New Tai Lue" w:eastAsia="Times New Roman" w:hAnsi="Microsoft New Tai Lue" w:cs="Microsoft New Tai Lue"/>
          <w:i/>
          <w:iCs/>
          <w:color w:val="111111"/>
          <w:sz w:val="24"/>
          <w:szCs w:val="24"/>
          <w:bdr w:val="none" w:sz="0" w:space="0" w:color="auto" w:frame="1"/>
        </w:rPr>
      </w:pPr>
      <w:proofErr w:type="gramStart"/>
      <w:r w:rsidRPr="009C0C2B">
        <w:rPr>
          <w:rFonts w:ascii="Arial" w:eastAsia="Times New Roman" w:hAnsi="Arial" w:cs="Arial"/>
          <w:i/>
          <w:iCs/>
          <w:color w:val="111111"/>
          <w:sz w:val="24"/>
          <w:szCs w:val="24"/>
          <w:bdr w:val="none" w:sz="0" w:space="0" w:color="auto" w:frame="1"/>
        </w:rPr>
        <w:t>∆</w:t>
      </w:r>
      <w:r w:rsidRPr="009C0C2B">
        <w:rPr>
          <w:rFonts w:ascii="Microsoft New Tai Lue" w:eastAsia="Times New Roman" w:hAnsi="Microsoft New Tai Lue" w:cs="Microsoft New Tai Lue"/>
          <w:i/>
          <w:iCs/>
          <w:color w:val="111111"/>
          <w:sz w:val="24"/>
          <w:szCs w:val="24"/>
          <w:bdr w:val="none" w:sz="0" w:space="0" w:color="auto" w:frame="1"/>
        </w:rPr>
        <w:t xml:space="preserve">  These</w:t>
      </w:r>
      <w:proofErr w:type="gramEnd"/>
      <w:r w:rsidRPr="009C0C2B">
        <w:rPr>
          <w:rFonts w:ascii="Microsoft New Tai Lue" w:eastAsia="Times New Roman" w:hAnsi="Microsoft New Tai Lue" w:cs="Microsoft New Tai Lue"/>
          <w:i/>
          <w:iCs/>
          <w:color w:val="111111"/>
          <w:sz w:val="24"/>
          <w:szCs w:val="24"/>
          <w:bdr w:val="none" w:sz="0" w:space="0" w:color="auto" w:frame="1"/>
        </w:rPr>
        <w:t xml:space="preserve"> courses are also offered at the 4000 level for undergraduates.</w:t>
      </w:r>
    </w:p>
    <w:p w:rsidR="00E31E12" w:rsidRPr="009C0C2B" w:rsidRDefault="00E31E12" w:rsidP="00A50B3D">
      <w:pPr>
        <w:shd w:val="clear" w:color="auto" w:fill="FFFFFF"/>
        <w:spacing w:after="0" w:line="384" w:lineRule="atLeast"/>
        <w:textAlignment w:val="baseline"/>
        <w:rPr>
          <w:rFonts w:ascii="Microsoft New Tai Lue" w:eastAsia="Times New Roman" w:hAnsi="Microsoft New Tai Lue" w:cs="Microsoft New Tai Lue"/>
          <w:color w:val="111111"/>
          <w:sz w:val="24"/>
          <w:szCs w:val="24"/>
        </w:rPr>
      </w:pPr>
      <w:proofErr w:type="gramStart"/>
      <w:r w:rsidRPr="009C0C2B">
        <w:rPr>
          <w:rFonts w:ascii="Calibri" w:eastAsia="Times New Roman" w:hAnsi="Calibri" w:cs="Calibri"/>
          <w:i/>
          <w:iCs/>
          <w:color w:val="111111"/>
          <w:sz w:val="24"/>
          <w:szCs w:val="24"/>
          <w:bdr w:val="none" w:sz="0" w:space="0" w:color="auto" w:frame="1"/>
        </w:rPr>
        <w:t>Ѳ</w:t>
      </w:r>
      <w:r w:rsidRPr="009C0C2B">
        <w:rPr>
          <w:rFonts w:ascii="Microsoft New Tai Lue" w:eastAsia="Times New Roman" w:hAnsi="Microsoft New Tai Lue" w:cs="Microsoft New Tai Lue"/>
          <w:i/>
          <w:iCs/>
          <w:color w:val="111111"/>
          <w:sz w:val="24"/>
          <w:szCs w:val="24"/>
          <w:bdr w:val="none" w:sz="0" w:space="0" w:color="auto" w:frame="1"/>
        </w:rPr>
        <w:t xml:space="preserve">  This</w:t>
      </w:r>
      <w:proofErr w:type="gramEnd"/>
      <w:r w:rsidRPr="009C0C2B">
        <w:rPr>
          <w:rFonts w:ascii="Microsoft New Tai Lue" w:eastAsia="Times New Roman" w:hAnsi="Microsoft New Tai Lue" w:cs="Microsoft New Tai Lue"/>
          <w:i/>
          <w:iCs/>
          <w:color w:val="111111"/>
          <w:sz w:val="24"/>
          <w:szCs w:val="24"/>
          <w:bdr w:val="none" w:sz="0" w:space="0" w:color="auto" w:frame="1"/>
        </w:rPr>
        <w:t xml:space="preserve"> course is also offered to undergraduates as LAND 2520.</w:t>
      </w:r>
    </w:p>
    <w:p w:rsidR="00A50B3D" w:rsidRPr="009C0C2B" w:rsidRDefault="00A50B3D">
      <w:pPr>
        <w:rPr>
          <w:rFonts w:ascii="Microsoft New Tai Lue" w:hAnsi="Microsoft New Tai Lue" w:cs="Microsoft New Tai Lue"/>
        </w:rPr>
      </w:pPr>
    </w:p>
    <w:sectPr w:rsidR="00A50B3D" w:rsidRPr="009C0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2085"/>
    <w:multiLevelType w:val="multilevel"/>
    <w:tmpl w:val="71A2B3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34891"/>
    <w:multiLevelType w:val="multilevel"/>
    <w:tmpl w:val="582CE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C12C1"/>
    <w:multiLevelType w:val="multilevel"/>
    <w:tmpl w:val="332C7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E107F1"/>
    <w:multiLevelType w:val="multilevel"/>
    <w:tmpl w:val="CD12B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A6FE0"/>
    <w:multiLevelType w:val="multilevel"/>
    <w:tmpl w:val="8AD24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D3ACC"/>
    <w:multiLevelType w:val="multilevel"/>
    <w:tmpl w:val="D3A27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B72597"/>
    <w:multiLevelType w:val="multilevel"/>
    <w:tmpl w:val="AB2C6C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2D5E09"/>
    <w:multiLevelType w:val="multilevel"/>
    <w:tmpl w:val="7D827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3D6FBD"/>
    <w:multiLevelType w:val="multilevel"/>
    <w:tmpl w:val="ED3E0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0"/>
  </w:num>
  <w:num w:numId="5">
    <w:abstractNumId w:val="3"/>
  </w:num>
  <w:num w:numId="6">
    <w:abstractNumId w:val="6"/>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3D"/>
    <w:rsid w:val="003F31A2"/>
    <w:rsid w:val="006B08A2"/>
    <w:rsid w:val="009C0C2B"/>
    <w:rsid w:val="009E210B"/>
    <w:rsid w:val="00A50B3D"/>
    <w:rsid w:val="00AF2592"/>
    <w:rsid w:val="00D12187"/>
    <w:rsid w:val="00DB216A"/>
    <w:rsid w:val="00DD4C85"/>
    <w:rsid w:val="00E3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6E64F-D016-4018-996C-BF22107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50B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A50B3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50B3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A50B3D"/>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A50B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0B3D"/>
    <w:rPr>
      <w:color w:val="0000FF"/>
      <w:u w:val="single"/>
    </w:rPr>
  </w:style>
  <w:style w:type="character" w:styleId="Strong">
    <w:name w:val="Strong"/>
    <w:basedOn w:val="DefaultParagraphFont"/>
    <w:uiPriority w:val="22"/>
    <w:qFormat/>
    <w:rsid w:val="00A50B3D"/>
    <w:rPr>
      <w:b/>
      <w:bCs/>
    </w:rPr>
  </w:style>
  <w:style w:type="character" w:customStyle="1" w:styleId="apple-converted-space">
    <w:name w:val="apple-converted-space"/>
    <w:basedOn w:val="DefaultParagraphFont"/>
    <w:rsid w:val="00A50B3D"/>
  </w:style>
  <w:style w:type="character" w:styleId="Emphasis">
    <w:name w:val="Emphasis"/>
    <w:basedOn w:val="DefaultParagraphFont"/>
    <w:uiPriority w:val="20"/>
    <w:qFormat/>
    <w:rsid w:val="00A50B3D"/>
    <w:rPr>
      <w:i/>
      <w:iCs/>
    </w:rPr>
  </w:style>
  <w:style w:type="paragraph" w:styleId="ListParagraph">
    <w:name w:val="List Paragraph"/>
    <w:basedOn w:val="Normal"/>
    <w:uiPriority w:val="34"/>
    <w:qFormat/>
    <w:rsid w:val="003F3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991">
      <w:bodyDiv w:val="1"/>
      <w:marLeft w:val="0"/>
      <w:marRight w:val="0"/>
      <w:marTop w:val="0"/>
      <w:marBottom w:val="0"/>
      <w:divBdr>
        <w:top w:val="none" w:sz="0" w:space="0" w:color="auto"/>
        <w:left w:val="none" w:sz="0" w:space="0" w:color="auto"/>
        <w:bottom w:val="none" w:sz="0" w:space="0" w:color="auto"/>
        <w:right w:val="none" w:sz="0" w:space="0" w:color="auto"/>
      </w:divBdr>
    </w:div>
    <w:div w:id="4754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uga.edu/historic-preservation-law/" TargetMode="External"/><Relationship Id="rId13" Type="http://schemas.openxmlformats.org/officeDocument/2006/relationships/hyperlink" Target="http://www.ced.uga.edu/common-electives/" TargetMode="External"/><Relationship Id="rId18" Type="http://schemas.openxmlformats.org/officeDocument/2006/relationships/hyperlink" Target="http://www.ced.uga.edu/common-electiv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ced.uga.edu/basic-preservation-graphics/" TargetMode="External"/><Relationship Id="rId12" Type="http://schemas.openxmlformats.org/officeDocument/2006/relationships/hyperlink" Target="http://www.ced.uga.edu/thesis-preparation-an-introduction-to-research-strategies/" TargetMode="External"/><Relationship Id="rId17" Type="http://schemas.openxmlformats.org/officeDocument/2006/relationships/hyperlink" Target="http://www.ced.uga.edu/common-electives/" TargetMode="External"/><Relationship Id="rId2" Type="http://schemas.openxmlformats.org/officeDocument/2006/relationships/numbering" Target="numbering.xml"/><Relationship Id="rId16" Type="http://schemas.openxmlformats.org/officeDocument/2006/relationships/hyperlink" Target="http://www.ced.uga.edu/building-materials-conservation/" TargetMode="External"/><Relationship Id="rId20" Type="http://schemas.openxmlformats.org/officeDocument/2006/relationships/hyperlink" Target="http://www.ced.uga.edu/common-electives/" TargetMode="External"/><Relationship Id="rId1" Type="http://schemas.openxmlformats.org/officeDocument/2006/relationships/customXml" Target="../customXml/item1.xml"/><Relationship Id="rId6" Type="http://schemas.openxmlformats.org/officeDocument/2006/relationships/hyperlink" Target="http://www.ced.uga.edu/principles-and-practices-of-historic-preservation/" TargetMode="External"/><Relationship Id="rId11" Type="http://schemas.openxmlformats.org/officeDocument/2006/relationships/hyperlink" Target="http://www.ced.uga.edu/historic-preservation-design-studio/" TargetMode="External"/><Relationship Id="rId5" Type="http://schemas.openxmlformats.org/officeDocument/2006/relationships/webSettings" Target="webSettings.xml"/><Relationship Id="rId15" Type="http://schemas.openxmlformats.org/officeDocument/2006/relationships/hyperlink" Target="http://www.ced.uga.edu/georgia-coastal-field-studies/" TargetMode="External"/><Relationship Id="rId10" Type="http://schemas.openxmlformats.org/officeDocument/2006/relationships/hyperlink" Target="http://www.ced.uga.edu/cultural-resource-assessment/" TargetMode="External"/><Relationship Id="rId19" Type="http://schemas.openxmlformats.org/officeDocument/2006/relationships/hyperlink" Target="http://www.ced.uga.edu/common-electives/" TargetMode="External"/><Relationship Id="rId4" Type="http://schemas.openxmlformats.org/officeDocument/2006/relationships/settings" Target="settings.xml"/><Relationship Id="rId9" Type="http://schemas.openxmlformats.org/officeDocument/2006/relationships/hyperlink" Target="http://www.ced.uga.edu/common-electives/" TargetMode="External"/><Relationship Id="rId14" Type="http://schemas.openxmlformats.org/officeDocument/2006/relationships/hyperlink" Target="http://www.ced.uga.edu/historic-preservation-internsh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8F86-6307-48D0-8950-9EA862F8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Reap</dc:creator>
  <cp:keywords/>
  <dc:description/>
  <cp:lastModifiedBy>Maria Lucille Rachal</cp:lastModifiedBy>
  <cp:revision>2</cp:revision>
  <dcterms:created xsi:type="dcterms:W3CDTF">2016-10-04T17:23:00Z</dcterms:created>
  <dcterms:modified xsi:type="dcterms:W3CDTF">2016-10-04T17:23:00Z</dcterms:modified>
</cp:coreProperties>
</file>